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rPr>
          <w:rStyle w:val="6"/>
          <w:rFonts w:ascii="Times New Roman" w:hAnsi="Times New Roman" w:eastAsia="宋体"/>
          <w:sz w:val="36"/>
          <w:szCs w:val="36"/>
        </w:rPr>
      </w:pPr>
      <w:bookmarkStart w:id="0" w:name="_Toc68590979"/>
      <w:r>
        <w:rPr>
          <w:rStyle w:val="6"/>
          <w:rFonts w:ascii="Times New Roman" w:hAnsi="Times New Roman" w:eastAsia="宋体"/>
          <w:sz w:val="36"/>
          <w:szCs w:val="36"/>
        </w:rPr>
        <w:t xml:space="preserve">第四章  </w:t>
      </w:r>
      <w:bookmarkEnd w:id="0"/>
      <w:r>
        <w:rPr>
          <w:rStyle w:val="6"/>
          <w:rFonts w:ascii="Times New Roman" w:hAnsi="Times New Roman" w:eastAsia="宋体"/>
          <w:sz w:val="36"/>
          <w:szCs w:val="36"/>
        </w:rPr>
        <w:t>拟签订的合同文本</w:t>
      </w:r>
    </w:p>
    <w:p>
      <w:pPr>
        <w:adjustRightInd w:val="0"/>
        <w:snapToGrid w:val="0"/>
        <w:spacing w:line="360" w:lineRule="auto"/>
        <w:ind w:firstLine="480" w:firstLineChars="200"/>
        <w:rPr>
          <w:rFonts w:eastAsia="仿宋_GB2312"/>
          <w:sz w:val="24"/>
        </w:rPr>
      </w:pPr>
    </w:p>
    <w:p>
      <w:pPr>
        <w:tabs>
          <w:tab w:val="left" w:pos="735"/>
        </w:tabs>
        <w:autoSpaceDE w:val="0"/>
        <w:autoSpaceDN w:val="0"/>
        <w:adjustRightInd w:val="0"/>
        <w:snapToGrid w:val="0"/>
        <w:spacing w:before="240" w:beforeLines="100" w:line="360" w:lineRule="auto"/>
        <w:rPr>
          <w:rFonts w:eastAsia="仿宋_GB2312"/>
          <w:b/>
          <w:bCs/>
          <w:sz w:val="24"/>
          <w:lang w:val="zh-CN"/>
        </w:rPr>
      </w:pPr>
      <w:r>
        <w:rPr>
          <w:rFonts w:eastAsia="仿宋_GB2312"/>
          <w:b/>
          <w:bCs/>
          <w:sz w:val="24"/>
          <w:lang w:val="zh-CN"/>
        </w:rPr>
        <w:t>甲方：</w:t>
      </w:r>
      <w:r>
        <w:rPr>
          <w:rFonts w:eastAsia="仿宋_GB2312"/>
          <w:bCs/>
          <w:sz w:val="24"/>
          <w:lang w:val="zh-CN"/>
        </w:rPr>
        <w:t xml:space="preserve">（前款所称采购人）     </w:t>
      </w:r>
      <w:r>
        <w:rPr>
          <w:rFonts w:hint="eastAsia" w:eastAsia="仿宋_GB2312"/>
          <w:bCs/>
          <w:sz w:val="24"/>
        </w:rPr>
        <w:t xml:space="preserve">    </w:t>
      </w:r>
      <w:r>
        <w:rPr>
          <w:rFonts w:eastAsia="仿宋_GB2312"/>
          <w:bCs/>
          <w:sz w:val="24"/>
          <w:lang w:val="zh-CN"/>
        </w:rPr>
        <w:t>住所：</w:t>
      </w:r>
    </w:p>
    <w:p>
      <w:pPr>
        <w:tabs>
          <w:tab w:val="left" w:pos="735"/>
        </w:tabs>
        <w:autoSpaceDE w:val="0"/>
        <w:autoSpaceDN w:val="0"/>
        <w:adjustRightInd w:val="0"/>
        <w:snapToGrid w:val="0"/>
        <w:spacing w:line="360" w:lineRule="auto"/>
        <w:rPr>
          <w:rFonts w:eastAsia="仿宋_GB2312"/>
          <w:bCs/>
          <w:sz w:val="24"/>
          <w:lang w:val="zh-CN"/>
        </w:rPr>
      </w:pPr>
      <w:r>
        <w:rPr>
          <w:rFonts w:eastAsia="仿宋_GB2312"/>
          <w:b/>
          <w:bCs/>
          <w:sz w:val="24"/>
          <w:lang w:val="zh-CN"/>
        </w:rPr>
        <w:t>乙方：</w:t>
      </w:r>
      <w:r>
        <w:rPr>
          <w:rFonts w:eastAsia="仿宋_GB2312"/>
          <w:bCs/>
          <w:sz w:val="24"/>
          <w:lang w:val="zh-CN"/>
        </w:rPr>
        <w:t>（前款所称</w:t>
      </w:r>
      <w:r>
        <w:rPr>
          <w:rFonts w:hint="eastAsia" w:eastAsia="仿宋_GB2312"/>
          <w:bCs/>
          <w:sz w:val="24"/>
        </w:rPr>
        <w:t>成交供应商</w:t>
      </w:r>
      <w:r>
        <w:rPr>
          <w:rFonts w:eastAsia="仿宋_GB2312"/>
          <w:bCs/>
          <w:sz w:val="24"/>
          <w:lang w:val="zh-CN"/>
        </w:rPr>
        <w:t>）     住所：</w:t>
      </w:r>
    </w:p>
    <w:p>
      <w:pPr>
        <w:adjustRightInd w:val="0"/>
        <w:snapToGrid w:val="0"/>
        <w:spacing w:line="360" w:lineRule="auto"/>
        <w:ind w:firstLine="480" w:firstLineChars="200"/>
        <w:rPr>
          <w:rFonts w:eastAsia="仿宋_GB2312"/>
          <w:sz w:val="24"/>
        </w:rPr>
      </w:pPr>
      <w:bookmarkStart w:id="1" w:name="_Toc19515384"/>
      <w:r>
        <w:rPr>
          <w:rFonts w:eastAsia="仿宋_GB2312"/>
          <w:sz w:val="24"/>
        </w:rPr>
        <w:t>一、合同内容（标的、数量、质量等）</w:t>
      </w:r>
      <w:bookmarkEnd w:id="1"/>
      <w:r>
        <w:rPr>
          <w:rFonts w:hint="eastAsia" w:eastAsia="仿宋_GB2312"/>
          <w:sz w:val="24"/>
        </w:rPr>
        <w:t>：</w:t>
      </w:r>
    </w:p>
    <w:p>
      <w:pPr>
        <w:adjustRightInd w:val="0"/>
        <w:snapToGrid w:val="0"/>
        <w:spacing w:line="360" w:lineRule="auto"/>
        <w:ind w:firstLine="480" w:firstLineChars="200"/>
        <w:rPr>
          <w:rFonts w:eastAsia="仿宋_GB2312"/>
          <w:sz w:val="24"/>
        </w:rPr>
      </w:pPr>
      <w:bookmarkStart w:id="2" w:name="_Toc19515385"/>
      <w:r>
        <w:rPr>
          <w:rFonts w:eastAsia="仿宋_GB2312"/>
          <w:sz w:val="24"/>
        </w:rPr>
        <w:t>二、合同价款</w:t>
      </w:r>
      <w:bookmarkEnd w:id="2"/>
    </w:p>
    <w:p>
      <w:pPr>
        <w:adjustRightInd w:val="0"/>
        <w:snapToGrid w:val="0"/>
        <w:spacing w:line="360" w:lineRule="auto"/>
        <w:ind w:firstLine="480" w:firstLineChars="200"/>
        <w:rPr>
          <w:rFonts w:eastAsia="仿宋_GB2312"/>
          <w:sz w:val="24"/>
        </w:rPr>
      </w:pPr>
      <w:r>
        <w:rPr>
          <w:rFonts w:eastAsia="仿宋_GB2312"/>
          <w:sz w:val="24"/>
        </w:rPr>
        <w:t>1、合同总价：</w:t>
      </w:r>
    </w:p>
    <w:p>
      <w:pPr>
        <w:adjustRightInd w:val="0"/>
        <w:snapToGrid w:val="0"/>
        <w:spacing w:line="360" w:lineRule="auto"/>
        <w:ind w:firstLine="480" w:firstLineChars="200"/>
        <w:rPr>
          <w:rFonts w:eastAsia="仿宋_GB2312"/>
          <w:sz w:val="24"/>
        </w:rPr>
      </w:pPr>
      <w:r>
        <w:rPr>
          <w:rFonts w:eastAsia="仿宋_GB2312"/>
          <w:sz w:val="24"/>
        </w:rPr>
        <w:t>2、合同总价包括：</w:t>
      </w:r>
    </w:p>
    <w:p>
      <w:pPr>
        <w:adjustRightInd w:val="0"/>
        <w:snapToGrid w:val="0"/>
        <w:spacing w:line="360" w:lineRule="auto"/>
        <w:ind w:firstLine="480" w:firstLineChars="200"/>
        <w:rPr>
          <w:rFonts w:eastAsia="仿宋_GB2312"/>
          <w:sz w:val="24"/>
        </w:rPr>
      </w:pPr>
      <w:r>
        <w:rPr>
          <w:rFonts w:eastAsia="仿宋_GB2312"/>
          <w:sz w:val="24"/>
        </w:rPr>
        <w:t>3、合同为固定总价合同，不受市场价变化的影响。</w:t>
      </w:r>
    </w:p>
    <w:p>
      <w:pPr>
        <w:adjustRightInd w:val="0"/>
        <w:snapToGrid w:val="0"/>
        <w:spacing w:line="360" w:lineRule="auto"/>
        <w:ind w:firstLine="480" w:firstLineChars="200"/>
        <w:rPr>
          <w:rFonts w:eastAsia="仿宋_GB2312"/>
          <w:sz w:val="24"/>
        </w:rPr>
      </w:pPr>
      <w:bookmarkStart w:id="3" w:name="_Toc19515386"/>
      <w:r>
        <w:rPr>
          <w:rFonts w:eastAsia="仿宋_GB2312"/>
          <w:sz w:val="24"/>
        </w:rPr>
        <w:t>三、合同结算</w:t>
      </w:r>
      <w:bookmarkEnd w:id="3"/>
    </w:p>
    <w:p>
      <w:pPr>
        <w:adjustRightInd w:val="0"/>
        <w:snapToGrid w:val="0"/>
        <w:spacing w:line="360" w:lineRule="auto"/>
        <w:ind w:firstLine="480" w:firstLineChars="200"/>
        <w:rPr>
          <w:rFonts w:eastAsia="仿宋_GB2312"/>
          <w:sz w:val="24"/>
          <w:highlight w:val="yellow"/>
        </w:rPr>
      </w:pPr>
      <w:r>
        <w:rPr>
          <w:rFonts w:eastAsia="仿宋_GB2312"/>
          <w:sz w:val="24"/>
          <w:highlight w:val="yellow"/>
        </w:rPr>
        <w:t>1、付款</w:t>
      </w:r>
      <w:r>
        <w:rPr>
          <w:rFonts w:hint="eastAsia" w:eastAsia="仿宋_GB2312"/>
          <w:sz w:val="24"/>
          <w:highlight w:val="yellow"/>
          <w:lang w:eastAsia="zh-CN"/>
        </w:rPr>
        <w:t>方式</w:t>
      </w:r>
      <w:r>
        <w:rPr>
          <w:rFonts w:eastAsia="仿宋_GB2312"/>
          <w:sz w:val="24"/>
          <w:highlight w:val="yellow"/>
        </w:rPr>
        <w:t>：</w:t>
      </w:r>
    </w:p>
    <w:p>
      <w:pPr>
        <w:adjustRightInd w:val="0"/>
        <w:snapToGrid w:val="0"/>
        <w:spacing w:line="360" w:lineRule="auto"/>
        <w:ind w:firstLine="480" w:firstLineChars="200"/>
        <w:rPr>
          <w:rFonts w:hint="eastAsia" w:ascii="仿宋" w:hAnsi="仿宋" w:eastAsia="仿宋" w:cs="仿宋"/>
          <w:sz w:val="24"/>
          <w:highlight w:val="yellow"/>
        </w:rPr>
      </w:pPr>
      <w:r>
        <w:rPr>
          <w:rFonts w:hint="eastAsia" w:ascii="仿宋" w:hAnsi="仿宋" w:eastAsia="仿宋" w:cs="仿宋"/>
          <w:sz w:val="24"/>
          <w:highlight w:val="yellow"/>
        </w:rPr>
        <w:t xml:space="preserve">①合同签订后支付合同总价款的 </w:t>
      </w:r>
      <w:r>
        <w:rPr>
          <w:rFonts w:hint="eastAsia" w:ascii="仿宋" w:hAnsi="仿宋" w:eastAsia="仿宋" w:cs="仿宋"/>
          <w:sz w:val="24"/>
          <w:highlight w:val="yellow"/>
          <w:lang w:val="en-US" w:eastAsia="zh-CN"/>
        </w:rPr>
        <w:t>40</w:t>
      </w:r>
      <w:r>
        <w:rPr>
          <w:rFonts w:hint="eastAsia" w:ascii="仿宋" w:hAnsi="仿宋" w:eastAsia="仿宋" w:cs="仿宋"/>
          <w:sz w:val="24"/>
          <w:highlight w:val="yellow"/>
        </w:rPr>
        <w:t>%，货物运至采购人指定地点安装调试完成后经验收合格,采购人向</w:t>
      </w:r>
      <w:r>
        <w:rPr>
          <w:rFonts w:hint="eastAsia" w:ascii="仿宋" w:hAnsi="仿宋" w:eastAsia="仿宋" w:cs="仿宋"/>
          <w:sz w:val="24"/>
          <w:highlight w:val="yellow"/>
          <w:lang w:eastAsia="zh-CN"/>
        </w:rPr>
        <w:t>供应商</w:t>
      </w:r>
      <w:r>
        <w:rPr>
          <w:rFonts w:hint="eastAsia" w:ascii="仿宋" w:hAnsi="仿宋" w:eastAsia="仿宋" w:cs="仿宋"/>
          <w:sz w:val="24"/>
          <w:highlight w:val="yellow"/>
        </w:rPr>
        <w:t>支付合同总价款的</w:t>
      </w:r>
      <w:r>
        <w:rPr>
          <w:rFonts w:hint="eastAsia" w:ascii="仿宋" w:hAnsi="仿宋" w:eastAsia="仿宋" w:cs="仿宋"/>
          <w:sz w:val="24"/>
          <w:highlight w:val="yellow"/>
          <w:lang w:val="en-US" w:eastAsia="zh-CN"/>
        </w:rPr>
        <w:t>60</w:t>
      </w:r>
      <w:r>
        <w:rPr>
          <w:rFonts w:hint="eastAsia" w:ascii="仿宋" w:hAnsi="仿宋" w:eastAsia="仿宋" w:cs="仿宋"/>
          <w:sz w:val="24"/>
          <w:highlight w:val="yellow"/>
        </w:rPr>
        <w:t>%；</w:t>
      </w:r>
    </w:p>
    <w:p>
      <w:pPr>
        <w:adjustRightInd w:val="0"/>
        <w:snapToGrid w:val="0"/>
        <w:spacing w:line="360" w:lineRule="auto"/>
        <w:ind w:firstLine="480" w:firstLineChars="200"/>
        <w:rPr>
          <w:rFonts w:hint="eastAsia" w:eastAsia="仿宋"/>
          <w:sz w:val="24"/>
          <w:highlight w:val="yellow"/>
          <w:lang w:eastAsia="zh-CN"/>
        </w:rPr>
      </w:pPr>
      <w:r>
        <w:rPr>
          <w:rFonts w:hint="eastAsia" w:ascii="仿宋" w:hAnsi="仿宋" w:eastAsia="仿宋" w:cs="仿宋"/>
          <w:sz w:val="24"/>
          <w:highlight w:val="yellow"/>
        </w:rPr>
        <w:t>②</w:t>
      </w:r>
      <w:r>
        <w:rPr>
          <w:rFonts w:hint="eastAsia" w:ascii="仿宋" w:hAnsi="仿宋" w:eastAsia="仿宋" w:cs="仿宋"/>
          <w:sz w:val="24"/>
          <w:highlight w:val="yellow"/>
          <w:lang w:eastAsia="zh-CN"/>
        </w:rPr>
        <w:t>供应商</w:t>
      </w:r>
      <w:r>
        <w:rPr>
          <w:rFonts w:hint="eastAsia" w:ascii="仿宋" w:hAnsi="仿宋" w:eastAsia="仿宋" w:cs="仿宋"/>
          <w:sz w:val="24"/>
          <w:highlight w:val="yellow"/>
        </w:rPr>
        <w:t>应根据采购人需要提供等额正规发票给采购人</w:t>
      </w:r>
      <w:r>
        <w:rPr>
          <w:rFonts w:hint="eastAsia" w:ascii="仿宋" w:hAnsi="仿宋" w:eastAsia="仿宋" w:cs="仿宋"/>
          <w:sz w:val="24"/>
          <w:highlight w:val="yellow"/>
          <w:lang w:eastAsia="zh-CN"/>
        </w:rPr>
        <w:t>。</w:t>
      </w:r>
    </w:p>
    <w:p>
      <w:pPr>
        <w:adjustRightInd w:val="0"/>
        <w:snapToGrid w:val="0"/>
        <w:spacing w:line="360" w:lineRule="auto"/>
        <w:ind w:firstLine="480" w:firstLineChars="200"/>
        <w:rPr>
          <w:rFonts w:eastAsia="仿宋_GB2312"/>
          <w:sz w:val="24"/>
        </w:rPr>
      </w:pPr>
      <w:r>
        <w:rPr>
          <w:rFonts w:eastAsia="仿宋_GB2312"/>
          <w:sz w:val="24"/>
        </w:rPr>
        <w:t>2、结算方式：银行转账。</w:t>
      </w:r>
    </w:p>
    <w:p>
      <w:pPr>
        <w:adjustRightInd w:val="0"/>
        <w:snapToGrid w:val="0"/>
        <w:spacing w:line="360" w:lineRule="auto"/>
        <w:ind w:firstLine="480" w:firstLineChars="200"/>
        <w:rPr>
          <w:rFonts w:eastAsia="仿宋_GB2312"/>
          <w:sz w:val="24"/>
        </w:rPr>
      </w:pPr>
      <w:r>
        <w:rPr>
          <w:rFonts w:eastAsia="仿宋_GB2312"/>
          <w:sz w:val="24"/>
        </w:rPr>
        <w:t>3、结算单位：由</w:t>
      </w:r>
      <w:r>
        <w:rPr>
          <w:rFonts w:eastAsia="仿宋_GB2312"/>
          <w:sz w:val="24"/>
          <w:u w:val="single"/>
        </w:rPr>
        <w:t xml:space="preserve">         </w:t>
      </w:r>
      <w:r>
        <w:rPr>
          <w:rFonts w:eastAsia="仿宋_GB2312"/>
          <w:sz w:val="24"/>
        </w:rPr>
        <w:t>负责结算，乙方开具合同总价数的全额发票交采购人。</w:t>
      </w:r>
    </w:p>
    <w:p>
      <w:pPr>
        <w:adjustRightInd w:val="0"/>
        <w:snapToGrid w:val="0"/>
        <w:spacing w:line="360" w:lineRule="auto"/>
        <w:ind w:firstLine="480" w:firstLineChars="200"/>
        <w:rPr>
          <w:rFonts w:eastAsia="仿宋_GB2312"/>
          <w:sz w:val="24"/>
        </w:rPr>
      </w:pPr>
      <w:bookmarkStart w:id="4" w:name="_Toc19515387"/>
      <w:r>
        <w:rPr>
          <w:rFonts w:eastAsia="仿宋_GB2312"/>
          <w:sz w:val="24"/>
        </w:rPr>
        <w:t>四、</w:t>
      </w:r>
      <w:r>
        <w:rPr>
          <w:rFonts w:hint="eastAsia" w:eastAsia="仿宋_GB2312"/>
          <w:sz w:val="24"/>
          <w:lang w:eastAsia="zh-CN"/>
        </w:rPr>
        <w:t>交货期</w:t>
      </w:r>
      <w:r>
        <w:rPr>
          <w:rFonts w:eastAsia="仿宋_GB2312"/>
          <w:sz w:val="24"/>
        </w:rPr>
        <w:t>、</w:t>
      </w:r>
      <w:r>
        <w:rPr>
          <w:rFonts w:hint="eastAsia" w:eastAsia="仿宋_GB2312"/>
          <w:sz w:val="24"/>
        </w:rPr>
        <w:t>质保期、</w:t>
      </w:r>
      <w:r>
        <w:rPr>
          <w:rFonts w:eastAsia="仿宋_GB2312"/>
          <w:sz w:val="24"/>
        </w:rPr>
        <w:t>地点及方式</w:t>
      </w:r>
      <w:bookmarkEnd w:id="4"/>
      <w:r>
        <w:rPr>
          <w:rFonts w:hint="eastAsia" w:eastAsia="仿宋_GB2312"/>
          <w:sz w:val="24"/>
        </w:rPr>
        <w:t>：</w:t>
      </w:r>
    </w:p>
    <w:p>
      <w:pPr>
        <w:adjustRightInd w:val="0"/>
        <w:snapToGrid w:val="0"/>
        <w:spacing w:line="360" w:lineRule="auto"/>
        <w:ind w:firstLine="480" w:firstLineChars="200"/>
        <w:rPr>
          <w:rFonts w:hint="eastAsia" w:eastAsia="仿宋_GB2312"/>
          <w:sz w:val="24"/>
          <w:lang w:eastAsia="zh-CN"/>
        </w:rPr>
      </w:pPr>
      <w:r>
        <w:rPr>
          <w:rFonts w:eastAsia="仿宋_GB2312"/>
          <w:sz w:val="24"/>
        </w:rPr>
        <w:t>1、</w:t>
      </w:r>
      <w:r>
        <w:rPr>
          <w:rFonts w:hint="eastAsia" w:eastAsia="仿宋_GB2312"/>
          <w:sz w:val="24"/>
          <w:lang w:eastAsia="zh-CN"/>
        </w:rPr>
        <w:t>交货期</w:t>
      </w:r>
      <w:r>
        <w:rPr>
          <w:rFonts w:eastAsia="仿宋_GB2312"/>
          <w:sz w:val="24"/>
        </w:rPr>
        <w:t>：</w:t>
      </w:r>
      <w:r>
        <w:rPr>
          <w:rFonts w:hint="eastAsia" w:eastAsia="仿宋_GB2312"/>
          <w:sz w:val="24"/>
          <w:lang w:eastAsia="zh-CN"/>
        </w:rPr>
        <w:t>自合同签订后30个日历日</w:t>
      </w:r>
    </w:p>
    <w:p>
      <w:pPr>
        <w:adjustRightInd w:val="0"/>
        <w:snapToGrid w:val="0"/>
        <w:spacing w:line="360" w:lineRule="auto"/>
        <w:ind w:firstLine="480" w:firstLineChars="200"/>
        <w:rPr>
          <w:rFonts w:eastAsia="仿宋_GB2312"/>
          <w:sz w:val="24"/>
        </w:rPr>
      </w:pPr>
      <w:r>
        <w:rPr>
          <w:rFonts w:hint="eastAsia" w:eastAsia="仿宋_GB2312"/>
          <w:sz w:val="24"/>
        </w:rPr>
        <w:t>2、质保期：整体项目质保一年。</w:t>
      </w:r>
    </w:p>
    <w:p>
      <w:pPr>
        <w:adjustRightInd w:val="0"/>
        <w:snapToGrid w:val="0"/>
        <w:spacing w:line="360" w:lineRule="auto"/>
        <w:ind w:firstLine="480" w:firstLineChars="200"/>
        <w:rPr>
          <w:rFonts w:eastAsia="仿宋_GB2312"/>
          <w:sz w:val="24"/>
        </w:rPr>
      </w:pPr>
      <w:r>
        <w:rPr>
          <w:rFonts w:eastAsia="仿宋_GB2312"/>
          <w:sz w:val="24"/>
        </w:rPr>
        <w:t>2、地点：</w:t>
      </w:r>
      <w:r>
        <w:rPr>
          <w:rFonts w:hint="eastAsia" w:eastAsia="仿宋_GB2312"/>
          <w:sz w:val="24"/>
        </w:rPr>
        <w:t>采购人指定地点。</w:t>
      </w:r>
    </w:p>
    <w:p>
      <w:pPr>
        <w:adjustRightInd w:val="0"/>
        <w:snapToGrid w:val="0"/>
        <w:spacing w:line="360" w:lineRule="auto"/>
        <w:ind w:firstLine="480" w:firstLineChars="200"/>
        <w:rPr>
          <w:rFonts w:eastAsia="仿宋_GB2312"/>
          <w:sz w:val="24"/>
        </w:rPr>
      </w:pPr>
      <w:r>
        <w:rPr>
          <w:rFonts w:eastAsia="仿宋_GB2312"/>
          <w:sz w:val="24"/>
        </w:rPr>
        <w:t>3、方式：</w:t>
      </w:r>
      <w:r>
        <w:rPr>
          <w:rFonts w:hint="eastAsia" w:eastAsia="仿宋_GB2312"/>
          <w:sz w:val="24"/>
        </w:rPr>
        <w:t>采购人指定方式。</w:t>
      </w:r>
    </w:p>
    <w:p>
      <w:pPr>
        <w:adjustRightInd w:val="0"/>
        <w:snapToGrid w:val="0"/>
        <w:spacing w:line="360" w:lineRule="auto"/>
        <w:ind w:firstLine="480" w:firstLineChars="200"/>
        <w:rPr>
          <w:rFonts w:hint="eastAsia" w:ascii="仿宋" w:hAnsi="仿宋" w:eastAsia="仿宋" w:cs="仿宋"/>
          <w:sz w:val="24"/>
        </w:rPr>
      </w:pPr>
      <w:bookmarkStart w:id="5" w:name="_Toc19515390"/>
      <w:r>
        <w:rPr>
          <w:rFonts w:hint="eastAsia" w:ascii="仿宋" w:hAnsi="仿宋" w:eastAsia="仿宋" w:cs="仿宋"/>
          <w:sz w:val="24"/>
        </w:rPr>
        <w:t>五、技术服务</w:t>
      </w:r>
      <w:bookmarkEnd w:id="5"/>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1、对技术服务的要求：</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2、技术资料：</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3、技术培训：</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3-1、培训内容：</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3-2、培训地点：</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3-3、培训时间：</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3-4、培训人数：</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3-5、培训费用：受训人员的食宿费、资料费、培训场地费、耗材（包括水电费等）费等已包含在合同总价中，甲方不再另行支付。</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4-1、乙方在接到甲方电话通知后在</w:t>
      </w:r>
      <w:r>
        <w:rPr>
          <w:rFonts w:hint="eastAsia" w:ascii="仿宋" w:hAnsi="仿宋" w:eastAsia="仿宋" w:cs="仿宋"/>
          <w:sz w:val="24"/>
          <w:u w:val="single"/>
        </w:rPr>
        <w:t xml:space="preserve">   </w:t>
      </w:r>
      <w:r>
        <w:rPr>
          <w:rFonts w:hint="eastAsia" w:ascii="仿宋" w:hAnsi="仿宋" w:eastAsia="仿宋" w:cs="仿宋"/>
          <w:sz w:val="24"/>
        </w:rPr>
        <w:t>小时内派出合格的服务人员到达现场进行服务，承担相应费用。</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4-2、如果乙方在收到通知后两天内没有弥补缺陷，甲方可采取必要的补救措施，但其风险和费用将由乙方承担，甲方根据合同规定对乙方行使的其它权力不受影响。</w:t>
      </w:r>
    </w:p>
    <w:p>
      <w:pPr>
        <w:adjustRightInd w:val="0"/>
        <w:snapToGrid w:val="0"/>
        <w:spacing w:line="360" w:lineRule="auto"/>
        <w:ind w:firstLine="480" w:firstLineChars="200"/>
        <w:rPr>
          <w:rFonts w:hint="eastAsia" w:ascii="仿宋" w:hAnsi="仿宋" w:eastAsia="仿宋" w:cs="仿宋"/>
          <w:sz w:val="24"/>
        </w:rPr>
      </w:pPr>
      <w:bookmarkStart w:id="6" w:name="_Toc19515391"/>
      <w:r>
        <w:rPr>
          <w:rFonts w:hint="eastAsia" w:ascii="仿宋" w:hAnsi="仿宋" w:eastAsia="仿宋" w:cs="仿宋"/>
          <w:sz w:val="24"/>
        </w:rPr>
        <w:t>六、验收</w:t>
      </w:r>
      <w:bookmarkEnd w:id="6"/>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1、验收：乙方完成服务内容后，向甲方提出验收申请，甲方接到乙方验收申请后组织验收（必要时可聘请相应专家或委托相应部门验收），验收合格后，出具使用验收合格证明。</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2、最终验收：最终验收结果作为付款依据，乙方填写验收单，并向甲方提交实施过程中的所有资料，以便甲方日后管理和维护。</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3、质保期满后：由乙方出具质保期运行质量报告，若存在质量问题，应按相应规定协商处理。</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w:t>
      </w:r>
      <w:r>
        <w:rPr>
          <w:rFonts w:hint="eastAsia" w:ascii="仿宋" w:hAnsi="仿宋" w:eastAsia="仿宋" w:cs="仿宋"/>
          <w:sz w:val="24"/>
          <w:lang w:eastAsia="zh-CN"/>
        </w:rPr>
        <w:t>磋商文件</w:t>
      </w:r>
      <w:r>
        <w:rPr>
          <w:rFonts w:hint="eastAsia" w:ascii="仿宋" w:hAnsi="仿宋" w:eastAsia="仿宋" w:cs="仿宋"/>
          <w:sz w:val="24"/>
        </w:rPr>
        <w:t>、投标文件。</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4-2、国内相应的标准、规范。</w:t>
      </w:r>
    </w:p>
    <w:p>
      <w:pPr>
        <w:adjustRightInd w:val="0"/>
        <w:snapToGrid w:val="0"/>
        <w:spacing w:line="360" w:lineRule="auto"/>
        <w:ind w:firstLine="480" w:firstLineChars="200"/>
        <w:rPr>
          <w:rFonts w:hint="eastAsia" w:ascii="仿宋" w:hAnsi="仿宋" w:eastAsia="仿宋" w:cs="仿宋"/>
          <w:sz w:val="24"/>
        </w:rPr>
      </w:pPr>
      <w:bookmarkStart w:id="7" w:name="_Toc19515392"/>
      <w:r>
        <w:rPr>
          <w:rFonts w:hint="eastAsia" w:ascii="仿宋" w:hAnsi="仿宋" w:eastAsia="仿宋" w:cs="仿宋"/>
          <w:sz w:val="24"/>
        </w:rPr>
        <w:t>七、违约责任</w:t>
      </w:r>
      <w:bookmarkEnd w:id="7"/>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1、按《中华人民共和国民法典》中的相关条款执行。</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2、乙方履约延误</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2-1、如乙方事先未征得甲方同意并得到甲方的谅解而单方面延迟执行合同，将按违约终止合同。</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pPr>
        <w:adjustRightInd w:val="0"/>
        <w:snapToGrid w:val="0"/>
        <w:spacing w:line="360" w:lineRule="auto"/>
        <w:ind w:firstLine="480" w:firstLineChars="200"/>
        <w:rPr>
          <w:rFonts w:hint="eastAsia" w:ascii="仿宋" w:hAnsi="仿宋" w:eastAsia="仿宋" w:cs="仿宋"/>
          <w:sz w:val="24"/>
        </w:rPr>
      </w:pPr>
      <w:bookmarkStart w:id="8" w:name="_Toc19515393"/>
      <w:r>
        <w:rPr>
          <w:rFonts w:hint="eastAsia" w:ascii="仿宋" w:hAnsi="仿宋" w:eastAsia="仿宋" w:cs="仿宋"/>
          <w:sz w:val="24"/>
        </w:rPr>
        <w:t>八、合同组成</w:t>
      </w:r>
      <w:bookmarkEnd w:id="8"/>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1、中标通知书</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pPr>
        <w:adjustRightInd w:val="0"/>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4、</w:t>
      </w:r>
      <w:r>
        <w:rPr>
          <w:rFonts w:hint="eastAsia" w:ascii="仿宋" w:hAnsi="仿宋" w:eastAsia="仿宋" w:cs="仿宋"/>
          <w:sz w:val="24"/>
          <w:lang w:eastAsia="zh-CN"/>
        </w:rPr>
        <w:t>磋商文件</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5、投标文件</w:t>
      </w:r>
    </w:p>
    <w:p>
      <w:pPr>
        <w:adjustRightInd w:val="0"/>
        <w:snapToGrid w:val="0"/>
        <w:spacing w:line="360" w:lineRule="auto"/>
        <w:ind w:firstLine="480" w:firstLineChars="200"/>
        <w:rPr>
          <w:rFonts w:hint="eastAsia" w:ascii="仿宋" w:hAnsi="仿宋" w:eastAsia="仿宋" w:cs="仿宋"/>
          <w:sz w:val="24"/>
        </w:rPr>
      </w:pPr>
      <w:bookmarkStart w:id="9" w:name="_Toc19515394"/>
      <w:r>
        <w:rPr>
          <w:rFonts w:hint="eastAsia" w:ascii="仿宋" w:hAnsi="仿宋" w:eastAsia="仿宋" w:cs="仿宋"/>
          <w:sz w:val="24"/>
        </w:rPr>
        <w:t>九、解决争议的方法</w:t>
      </w:r>
      <w:bookmarkEnd w:id="9"/>
    </w:p>
    <w:p>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凡因本合同引起的或与本合同有关的争议，双方应友好协商解决。协商不成时，双方均同意采用以下第（  ）种争议解决方式：</w:t>
      </w:r>
    </w:p>
    <w:p>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1、甲、乙双方均同意向（甲方所在地人民法院）提起诉讼。</w:t>
      </w:r>
    </w:p>
    <w:p>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kern w:val="0"/>
          <w:sz w:val="24"/>
        </w:rPr>
        <w:fldChar w:fldCharType="begin"/>
      </w:r>
      <w:r>
        <w:rPr>
          <w:rFonts w:hint="eastAsia" w:ascii="仿宋" w:hAnsi="仿宋" w:eastAsia="仿宋" w:cs="仿宋"/>
          <w:kern w:val="0"/>
          <w:sz w:val="24"/>
        </w:rPr>
        <w:instrText xml:space="preserve"> HYPERLINK "http://www.baidu.com/s?wd=%E4%BB%B2%E8%A3%81%E5%A7%94%E5%91%98%E4%BC%9A&amp;tn=SE_PcZhidaonwhc_ngpagmjz&amp;rsv_dl=gh_pc_zhidao" \t "_blank" </w:instrText>
      </w:r>
      <w:r>
        <w:rPr>
          <w:rFonts w:hint="eastAsia" w:ascii="仿宋" w:hAnsi="仿宋" w:eastAsia="仿宋" w:cs="仿宋"/>
          <w:kern w:val="0"/>
          <w:sz w:val="24"/>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pPr>
        <w:adjustRightInd w:val="0"/>
        <w:snapToGrid w:val="0"/>
        <w:spacing w:line="360" w:lineRule="auto"/>
        <w:ind w:firstLine="480" w:firstLineChars="200"/>
        <w:rPr>
          <w:rFonts w:hint="eastAsia" w:ascii="仿宋" w:hAnsi="仿宋" w:eastAsia="仿宋" w:cs="仿宋"/>
          <w:sz w:val="24"/>
        </w:rPr>
      </w:pPr>
      <w:bookmarkStart w:id="10" w:name="_Toc19515395"/>
      <w:r>
        <w:rPr>
          <w:rFonts w:hint="eastAsia" w:ascii="仿宋" w:hAnsi="仿宋" w:eastAsia="仿宋" w:cs="仿宋"/>
          <w:sz w:val="24"/>
        </w:rPr>
        <w:t>十、合同生效及其它</w:t>
      </w:r>
      <w:bookmarkEnd w:id="10"/>
    </w:p>
    <w:p>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noWrap w:val="0"/>
            <w:vAlign w:val="top"/>
          </w:tcPr>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noWrap w:val="0"/>
            <w:vAlign w:val="top"/>
          </w:tcPr>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pPr>
        <w:spacing w:line="360" w:lineRule="auto"/>
        <w:rPr>
          <w:rFonts w:hint="eastAsia" w:ascii="仿宋" w:hAnsi="仿宋" w:eastAsia="仿宋" w:cs="仿宋"/>
          <w:sz w:val="24"/>
        </w:rPr>
      </w:pPr>
      <w:r>
        <w:rPr>
          <w:rFonts w:hint="eastAsia" w:ascii="仿宋" w:hAnsi="仿宋" w:eastAsia="仿宋" w:cs="仿宋"/>
        </w:rPr>
        <w:br w:type="page"/>
      </w:r>
      <w:r>
        <w:rPr>
          <w:rFonts w:hint="eastAsia" w:ascii="仿宋" w:hAnsi="仿宋" w:eastAsia="仿宋" w:cs="仿宋"/>
          <w:sz w:val="24"/>
        </w:rPr>
        <w:t>合同附件：</w:t>
      </w:r>
    </w:p>
    <w:tbl>
      <w:tblPr>
        <w:tblStyle w:val="4"/>
        <w:tblW w:w="5000" w:type="pct"/>
        <w:tblInd w:w="0" w:type="dxa"/>
        <w:tblLayout w:type="autofit"/>
        <w:tblCellMar>
          <w:top w:w="0" w:type="dxa"/>
          <w:left w:w="108" w:type="dxa"/>
          <w:bottom w:w="0" w:type="dxa"/>
          <w:right w:w="108" w:type="dxa"/>
        </w:tblCellMar>
      </w:tblPr>
      <w:tblGrid>
        <w:gridCol w:w="1571"/>
        <w:gridCol w:w="2299"/>
        <w:gridCol w:w="2524"/>
        <w:gridCol w:w="2128"/>
      </w:tblGrid>
      <w:tr>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pPr>
              <w:widowControl/>
              <w:jc w:val="center"/>
              <w:rPr>
                <w:rFonts w:hint="eastAsia" w:ascii="仿宋" w:hAnsi="仿宋" w:eastAsia="仿宋" w:cs="仿宋"/>
                <w:b/>
                <w:bCs/>
                <w:kern w:val="0"/>
                <w:sz w:val="32"/>
                <w:szCs w:val="32"/>
              </w:rPr>
            </w:pPr>
            <w:r>
              <w:rPr>
                <w:rFonts w:hint="eastAsia" w:ascii="仿宋" w:hAnsi="仿宋" w:eastAsia="仿宋" w:cs="仿宋"/>
                <w:kern w:val="0"/>
                <w:sz w:val="28"/>
                <w:szCs w:val="28"/>
              </w:rPr>
              <w:t>政府采购项目货物（服务）验收入库报告单</w:t>
            </w:r>
          </w:p>
        </w:tc>
      </w:tr>
      <w:tr>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合同金额</w:t>
            </w:r>
          </w:p>
        </w:tc>
        <w:tc>
          <w:tcPr>
            <w:tcW w:w="1248" w:type="pct"/>
            <w:tcBorders>
              <w:top w:val="nil"/>
              <w:left w:val="nil"/>
              <w:bottom w:val="single" w:color="auto" w:sz="4" w:space="0"/>
              <w:right w:val="single" w:color="auto" w:sz="8" w:space="0"/>
            </w:tcBorders>
            <w:noWrap/>
            <w:vAlign w:val="center"/>
          </w:tcPr>
          <w:p>
            <w:pPr>
              <w:widowControl/>
              <w:jc w:val="left"/>
              <w:rPr>
                <w:rFonts w:hint="eastAsia" w:ascii="仿宋" w:hAnsi="仿宋" w:eastAsia="仿宋" w:cs="仿宋"/>
                <w:kern w:val="0"/>
                <w:sz w:val="24"/>
              </w:rPr>
            </w:pPr>
            <w:r>
              <w:rPr>
                <w:rFonts w:hint="eastAsia" w:ascii="仿宋" w:hAnsi="仿宋" w:eastAsia="仿宋" w:cs="仿宋"/>
                <w:kern w:val="0"/>
                <w:sz w:val="24"/>
              </w:rPr>
              <w:t>¥:</w:t>
            </w:r>
          </w:p>
        </w:tc>
      </w:tr>
      <w:tr>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pPr>
              <w:widowControl/>
              <w:jc w:val="left"/>
              <w:rPr>
                <w:rFonts w:hint="eastAsia" w:ascii="仿宋" w:hAnsi="仿宋" w:eastAsia="仿宋" w:cs="仿宋"/>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kern w:val="0"/>
                <w:sz w:val="24"/>
              </w:rPr>
            </w:pP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验收时间/地点</w:t>
            </w:r>
          </w:p>
        </w:tc>
        <w:tc>
          <w:tcPr>
            <w:tcW w:w="1248" w:type="pct"/>
            <w:tcBorders>
              <w:top w:val="nil"/>
              <w:left w:val="nil"/>
              <w:bottom w:val="single" w:color="auto" w:sz="4" w:space="0"/>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开户行</w:t>
            </w:r>
          </w:p>
        </w:tc>
        <w:tc>
          <w:tcPr>
            <w:tcW w:w="1349"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账号</w:t>
            </w:r>
          </w:p>
        </w:tc>
        <w:tc>
          <w:tcPr>
            <w:tcW w:w="1248" w:type="pct"/>
            <w:tcBorders>
              <w:top w:val="nil"/>
              <w:left w:val="nil"/>
              <w:bottom w:val="single" w:color="auto" w:sz="4" w:space="0"/>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联系人</w:t>
            </w:r>
          </w:p>
        </w:tc>
        <w:tc>
          <w:tcPr>
            <w:tcW w:w="1349" w:type="pct"/>
            <w:tcBorders>
              <w:top w:val="nil"/>
              <w:left w:val="nil"/>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c>
          <w:tcPr>
            <w:tcW w:w="1481" w:type="pct"/>
            <w:tcBorders>
              <w:top w:val="nil"/>
              <w:left w:val="nil"/>
              <w:bottom w:val="nil"/>
              <w:right w:val="single" w:color="auto" w:sz="4"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电话</w:t>
            </w:r>
          </w:p>
        </w:tc>
        <w:tc>
          <w:tcPr>
            <w:tcW w:w="1248" w:type="pct"/>
            <w:tcBorders>
              <w:top w:val="nil"/>
              <w:left w:val="nil"/>
              <w:bottom w:val="nil"/>
              <w:right w:val="single" w:color="auto" w:sz="8" w:space="0"/>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xml:space="preserve">   使用单位验收意见：（盖章）</w:t>
            </w:r>
          </w:p>
          <w:p>
            <w:pPr>
              <w:rPr>
                <w:rFonts w:hint="eastAsia" w:ascii="仿宋" w:hAnsi="仿宋" w:eastAsia="仿宋" w:cs="仿宋"/>
                <w:sz w:val="24"/>
              </w:rPr>
            </w:pPr>
          </w:p>
        </w:tc>
      </w:tr>
      <w:tr>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 xml:space="preserve"> 签字：</w:t>
            </w:r>
          </w:p>
        </w:tc>
        <w:tc>
          <w:tcPr>
            <w:tcW w:w="1349" w:type="pct"/>
            <w:tcBorders>
              <w:top w:val="nil"/>
              <w:left w:val="nil"/>
              <w:bottom w:val="nil"/>
              <w:right w:val="nil"/>
            </w:tcBorders>
            <w:noWrap/>
            <w:vAlign w:val="center"/>
          </w:tcPr>
          <w:p>
            <w:pPr>
              <w:widowControl/>
              <w:jc w:val="center"/>
              <w:rPr>
                <w:rFonts w:hint="eastAsia" w:ascii="仿宋" w:hAnsi="仿宋" w:eastAsia="仿宋" w:cs="仿宋"/>
                <w:kern w:val="0"/>
                <w:sz w:val="24"/>
              </w:rPr>
            </w:pPr>
          </w:p>
        </w:tc>
        <w:tc>
          <w:tcPr>
            <w:tcW w:w="1481" w:type="pct"/>
            <w:tcBorders>
              <w:top w:val="nil"/>
              <w:left w:val="single" w:color="auto" w:sz="4" w:space="0"/>
              <w:bottom w:val="nil"/>
              <w:right w:val="nil"/>
            </w:tcBorders>
            <w:noWrap/>
            <w:vAlign w:val="center"/>
          </w:tcPr>
          <w:p>
            <w:pPr>
              <w:widowControl/>
              <w:jc w:val="center"/>
              <w:rPr>
                <w:rFonts w:hint="eastAsia" w:ascii="仿宋" w:hAnsi="仿宋" w:eastAsia="仿宋" w:cs="仿宋"/>
                <w:kern w:val="0"/>
                <w:sz w:val="24"/>
              </w:rPr>
            </w:pPr>
            <w:r>
              <w:rPr>
                <w:rFonts w:hint="eastAsia" w:ascii="仿宋" w:hAnsi="仿宋" w:eastAsia="仿宋" w:cs="仿宋"/>
                <w:kern w:val="0"/>
                <w:sz w:val="24"/>
              </w:rPr>
              <w:t>签字：</w:t>
            </w:r>
          </w:p>
        </w:tc>
        <w:tc>
          <w:tcPr>
            <w:tcW w:w="1248" w:type="pct"/>
            <w:tcBorders>
              <w:top w:val="nil"/>
              <w:left w:val="nil"/>
              <w:bottom w:val="nil"/>
              <w:right w:val="single" w:color="auto" w:sz="8" w:space="0"/>
            </w:tcBorders>
            <w:noWrap w:val="0"/>
            <w:vAlign w:val="top"/>
          </w:tcPr>
          <w:p>
            <w:pPr>
              <w:widowControl/>
              <w:jc w:val="left"/>
              <w:rPr>
                <w:rFonts w:hint="eastAsia" w:ascii="仿宋" w:hAnsi="仿宋" w:eastAsia="仿宋" w:cs="仿宋"/>
                <w:kern w:val="0"/>
                <w:sz w:val="24"/>
              </w:rPr>
            </w:pPr>
            <w:r>
              <w:rPr>
                <w:rFonts w:hint="eastAsia" w:ascii="仿宋" w:hAnsi="仿宋" w:eastAsia="仿宋" w:cs="仿宋"/>
                <w:kern w:val="0"/>
                <w:sz w:val="24"/>
              </w:rPr>
              <w:t>　</w:t>
            </w:r>
          </w:p>
        </w:tc>
      </w:tr>
      <w:tr>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349" w:type="pct"/>
            <w:tcBorders>
              <w:top w:val="nil"/>
              <w:left w:val="nil"/>
              <w:bottom w:val="single" w:color="auto" w:sz="4" w:space="0"/>
              <w:right w:val="nil"/>
            </w:tcBorders>
            <w:noWrap w:val="0"/>
            <w:vAlign w:val="bottom"/>
          </w:tcPr>
          <w:p>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c>
          <w:tcPr>
            <w:tcW w:w="1481" w:type="pct"/>
            <w:tcBorders>
              <w:top w:val="nil"/>
              <w:left w:val="single" w:color="auto" w:sz="4" w:space="0"/>
              <w:bottom w:val="single" w:color="auto" w:sz="4" w:space="0"/>
              <w:right w:val="nil"/>
            </w:tcBorders>
            <w:noWrap/>
            <w:vAlign w:val="center"/>
          </w:tcPr>
          <w:p>
            <w:pPr>
              <w:widowControl/>
              <w:jc w:val="left"/>
              <w:rPr>
                <w:rFonts w:hint="eastAsia" w:ascii="仿宋" w:hAnsi="仿宋" w:eastAsia="仿宋" w:cs="仿宋"/>
                <w:kern w:val="0"/>
                <w:sz w:val="22"/>
                <w:szCs w:val="22"/>
              </w:rPr>
            </w:pPr>
            <w:r>
              <w:rPr>
                <w:rFonts w:hint="eastAsia" w:ascii="仿宋" w:hAnsi="仿宋" w:eastAsia="仿宋" w:cs="仿宋"/>
                <w:kern w:val="0"/>
                <w:sz w:val="22"/>
                <w:szCs w:val="22"/>
              </w:rPr>
              <w:t>　</w:t>
            </w:r>
          </w:p>
        </w:tc>
        <w:tc>
          <w:tcPr>
            <w:tcW w:w="1248" w:type="pct"/>
            <w:tcBorders>
              <w:top w:val="nil"/>
              <w:left w:val="nil"/>
              <w:bottom w:val="single" w:color="auto" w:sz="4" w:space="0"/>
              <w:right w:val="single" w:color="auto" w:sz="8" w:space="0"/>
            </w:tcBorders>
            <w:noWrap w:val="0"/>
            <w:vAlign w:val="bottom"/>
          </w:tcPr>
          <w:p>
            <w:pPr>
              <w:widowControl/>
              <w:jc w:val="right"/>
              <w:rPr>
                <w:rFonts w:hint="eastAsia" w:ascii="仿宋" w:hAnsi="仿宋" w:eastAsia="仿宋" w:cs="仿宋"/>
                <w:kern w:val="0"/>
                <w:sz w:val="22"/>
                <w:szCs w:val="22"/>
              </w:rPr>
            </w:pPr>
            <w:r>
              <w:rPr>
                <w:rFonts w:hint="eastAsia" w:ascii="仿宋" w:hAnsi="仿宋" w:eastAsia="仿宋" w:cs="仿宋"/>
                <w:kern w:val="0"/>
                <w:sz w:val="22"/>
                <w:szCs w:val="22"/>
              </w:rPr>
              <w:t>年   月   日</w:t>
            </w:r>
          </w:p>
        </w:tc>
      </w:tr>
      <w:tr>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pPr>
              <w:widowControl/>
              <w:jc w:val="center"/>
              <w:rPr>
                <w:rFonts w:hint="eastAsia" w:ascii="仿宋" w:hAnsi="仿宋" w:eastAsia="仿宋" w:cs="仿宋"/>
                <w:kern w:val="0"/>
                <w:sz w:val="22"/>
                <w:szCs w:val="22"/>
              </w:rPr>
            </w:pPr>
            <w:r>
              <w:rPr>
                <w:rFonts w:hint="eastAsia" w:ascii="仿宋" w:hAnsi="仿宋" w:eastAsia="仿宋" w:cs="仿宋"/>
                <w:kern w:val="0"/>
                <w:sz w:val="22"/>
                <w:szCs w:val="22"/>
              </w:rPr>
              <w:t>采购内容</w:t>
            </w:r>
          </w:p>
        </w:tc>
      </w:tr>
      <w:tr>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pPr>
              <w:widowControl/>
              <w:jc w:val="left"/>
              <w:rPr>
                <w:rFonts w:hint="eastAsia" w:ascii="仿宋" w:hAnsi="仿宋" w:eastAsia="仿宋" w:cs="仿宋"/>
                <w:kern w:val="0"/>
                <w:sz w:val="28"/>
                <w:szCs w:val="28"/>
              </w:rPr>
            </w:pPr>
            <w:r>
              <w:rPr>
                <w:rFonts w:hint="eastAsia" w:ascii="仿宋" w:hAnsi="仿宋" w:eastAsia="仿宋" w:cs="仿宋"/>
                <w:kern w:val="0"/>
                <w:sz w:val="24"/>
              </w:rPr>
              <w:t>采购内容请列明品目、规格、型号、数量、单价、总价</w:t>
            </w:r>
          </w:p>
        </w:tc>
      </w:tr>
    </w:tbl>
    <w:p>
      <w:pPr>
        <w:autoSpaceDE w:val="0"/>
        <w:autoSpaceDN w:val="0"/>
        <w:adjustRightInd w:val="0"/>
        <w:spacing w:line="360" w:lineRule="auto"/>
        <w:jc w:val="left"/>
        <w:rPr>
          <w:rFonts w:ascii="仿宋_GB2312" w:hAnsi="仿宋_GB2312" w:eastAsia="仿宋_GB2312" w:cs="仿宋_GB2312"/>
          <w:b/>
          <w:bCs/>
          <w:sz w:val="32"/>
          <w:szCs w:val="32"/>
        </w:rPr>
      </w:pPr>
    </w:p>
    <w:p>
      <w:pPr>
        <w:rPr>
          <w:rFonts w:eastAsia="仿宋_GB2312"/>
          <w:sz w:val="24"/>
        </w:rPr>
      </w:pPr>
      <w:r>
        <w:rPr>
          <w:rFonts w:eastAsia="仿宋_GB2312"/>
          <w:sz w:val="24"/>
        </w:rPr>
        <w:br w:type="page"/>
      </w:r>
    </w:p>
    <w:p>
      <w:pPr>
        <w:spacing w:line="360" w:lineRule="auto"/>
        <w:ind w:firstLine="480" w:firstLineChars="200"/>
        <w:rPr>
          <w:rFonts w:eastAsia="仿宋_GB2312"/>
          <w:sz w:val="24"/>
        </w:rPr>
      </w:pPr>
      <w:r>
        <w:rPr>
          <w:rFonts w:eastAsia="仿宋_GB2312"/>
          <w:sz w:val="24"/>
        </w:rPr>
        <w:t>合同附件1：</w:t>
      </w:r>
    </w:p>
    <w:tbl>
      <w:tblPr>
        <w:tblStyle w:val="4"/>
        <w:tblW w:w="5000" w:type="pct"/>
        <w:tblInd w:w="0" w:type="dxa"/>
        <w:tblLayout w:type="autofit"/>
        <w:tblCellMar>
          <w:top w:w="0" w:type="dxa"/>
          <w:left w:w="108" w:type="dxa"/>
          <w:bottom w:w="0" w:type="dxa"/>
          <w:right w:w="108" w:type="dxa"/>
        </w:tblCellMar>
      </w:tblPr>
      <w:tblGrid>
        <w:gridCol w:w="1571"/>
        <w:gridCol w:w="2299"/>
        <w:gridCol w:w="2524"/>
        <w:gridCol w:w="2128"/>
      </w:tblGrid>
      <w:tr>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pPr>
              <w:widowControl/>
              <w:jc w:val="center"/>
              <w:rPr>
                <w:rFonts w:eastAsia="仿宋_GB2312"/>
                <w:b/>
                <w:bCs/>
                <w:kern w:val="0"/>
                <w:sz w:val="32"/>
                <w:szCs w:val="32"/>
              </w:rPr>
            </w:pPr>
            <w:r>
              <w:rPr>
                <w:rFonts w:eastAsia="仿宋_GB2312"/>
                <w:b/>
                <w:bCs/>
                <w:kern w:val="0"/>
                <w:sz w:val="32"/>
                <w:szCs w:val="32"/>
              </w:rPr>
              <w:t>政府采购项目货物（服务）验收入库报告单</w:t>
            </w:r>
          </w:p>
        </w:tc>
      </w:tr>
      <w:tr>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合同金额</w:t>
            </w:r>
          </w:p>
        </w:tc>
        <w:tc>
          <w:tcPr>
            <w:tcW w:w="1248" w:type="pct"/>
            <w:tcBorders>
              <w:top w:val="nil"/>
              <w:left w:val="nil"/>
              <w:bottom w:val="single" w:color="auto" w:sz="4" w:space="0"/>
              <w:right w:val="single" w:color="auto" w:sz="8" w:space="0"/>
            </w:tcBorders>
            <w:noWrap/>
            <w:vAlign w:val="center"/>
          </w:tcPr>
          <w:p>
            <w:pPr>
              <w:widowControl/>
              <w:jc w:val="left"/>
              <w:rPr>
                <w:rFonts w:eastAsia="仿宋_GB2312"/>
                <w:b/>
                <w:bCs/>
                <w:kern w:val="0"/>
                <w:sz w:val="24"/>
              </w:rPr>
            </w:pPr>
            <w:r>
              <w:rPr>
                <w:rFonts w:eastAsia="仿宋_GB2312"/>
                <w:b/>
                <w:bCs/>
                <w:kern w:val="0"/>
                <w:sz w:val="24"/>
              </w:rPr>
              <w:t>¥</w:t>
            </w:r>
            <w:r>
              <w:rPr>
                <w:rFonts w:hint="eastAsia" w:eastAsia="仿宋_GB2312"/>
                <w:b/>
                <w:bCs/>
                <w:kern w:val="0"/>
                <w:sz w:val="24"/>
              </w:rPr>
              <w:t>：</w:t>
            </w:r>
          </w:p>
        </w:tc>
      </w:tr>
      <w:tr>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pPr>
              <w:widowControl/>
              <w:jc w:val="left"/>
              <w:rPr>
                <w:rFonts w:eastAsia="仿宋_GB2312"/>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验收时间/地点</w:t>
            </w:r>
          </w:p>
        </w:tc>
        <w:tc>
          <w:tcPr>
            <w:tcW w:w="1248" w:type="pct"/>
            <w:tcBorders>
              <w:top w:val="nil"/>
              <w:left w:val="nil"/>
              <w:bottom w:val="single" w:color="auto" w:sz="4" w:space="0"/>
              <w:right w:val="single" w:color="auto"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开户行</w:t>
            </w:r>
          </w:p>
        </w:tc>
        <w:tc>
          <w:tcPr>
            <w:tcW w:w="1349" w:type="pct"/>
            <w:tcBorders>
              <w:top w:val="nil"/>
              <w:left w:val="nil"/>
              <w:bottom w:val="single" w:color="auto" w:sz="4" w:space="0"/>
              <w:right w:val="single" w:color="auto" w:sz="4" w:space="0"/>
            </w:tcBorders>
            <w:noWrap/>
            <w:vAlign w:val="center"/>
          </w:tcPr>
          <w:p>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pPr>
              <w:widowControl/>
              <w:jc w:val="center"/>
              <w:rPr>
                <w:rFonts w:eastAsia="仿宋_GB2312"/>
                <w:b/>
                <w:bCs/>
                <w:kern w:val="0"/>
                <w:sz w:val="24"/>
              </w:rPr>
            </w:pPr>
            <w:r>
              <w:rPr>
                <w:rFonts w:eastAsia="仿宋_GB2312"/>
                <w:b/>
                <w:bCs/>
                <w:kern w:val="0"/>
                <w:sz w:val="24"/>
              </w:rPr>
              <w:t>账号</w:t>
            </w:r>
          </w:p>
        </w:tc>
        <w:tc>
          <w:tcPr>
            <w:tcW w:w="1248" w:type="pct"/>
            <w:tcBorders>
              <w:top w:val="nil"/>
              <w:left w:val="nil"/>
              <w:bottom w:val="single" w:color="auto" w:sz="4" w:space="0"/>
              <w:right w:val="single" w:color="auto"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pPr>
              <w:widowControl/>
              <w:jc w:val="center"/>
              <w:rPr>
                <w:rFonts w:eastAsia="仿宋_GB2312"/>
                <w:b/>
                <w:bCs/>
                <w:kern w:val="0"/>
                <w:sz w:val="24"/>
              </w:rPr>
            </w:pPr>
            <w:r>
              <w:rPr>
                <w:rFonts w:eastAsia="仿宋_GB2312"/>
                <w:b/>
                <w:bCs/>
                <w:kern w:val="0"/>
                <w:sz w:val="24"/>
              </w:rPr>
              <w:t>联系人</w:t>
            </w:r>
          </w:p>
        </w:tc>
        <w:tc>
          <w:tcPr>
            <w:tcW w:w="1349" w:type="pct"/>
            <w:tcBorders>
              <w:top w:val="nil"/>
              <w:left w:val="nil"/>
              <w:bottom w:val="nil"/>
              <w:right w:val="single" w:color="auto" w:sz="4" w:space="0"/>
            </w:tcBorders>
            <w:noWrap/>
            <w:vAlign w:val="center"/>
          </w:tcPr>
          <w:p>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pPr>
              <w:widowControl/>
              <w:jc w:val="center"/>
              <w:rPr>
                <w:rFonts w:eastAsia="仿宋_GB2312"/>
                <w:b/>
                <w:bCs/>
                <w:kern w:val="0"/>
                <w:sz w:val="24"/>
              </w:rPr>
            </w:pPr>
            <w:r>
              <w:rPr>
                <w:rFonts w:eastAsia="仿宋_GB2312"/>
                <w:b/>
                <w:bCs/>
                <w:kern w:val="0"/>
                <w:sz w:val="24"/>
              </w:rPr>
              <w:t>电话</w:t>
            </w:r>
          </w:p>
        </w:tc>
        <w:tc>
          <w:tcPr>
            <w:tcW w:w="1248" w:type="pct"/>
            <w:tcBorders>
              <w:top w:val="nil"/>
              <w:left w:val="nil"/>
              <w:bottom w:val="nil"/>
              <w:right w:val="single" w:color="auto" w:sz="8" w:space="0"/>
            </w:tcBorders>
            <w:noWrap/>
            <w:vAlign w:val="center"/>
          </w:tcPr>
          <w:p>
            <w:pPr>
              <w:widowControl/>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pPr>
              <w:widowControl/>
              <w:jc w:val="left"/>
              <w:rPr>
                <w:rFonts w:eastAsia="仿宋_GB2312"/>
                <w:b/>
                <w:bCs/>
                <w:kern w:val="0"/>
                <w:sz w:val="24"/>
              </w:rPr>
            </w:pPr>
            <w:r>
              <w:rPr>
                <w:rFonts w:eastAsia="仿宋_GB2312"/>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pPr>
              <w:widowControl/>
              <w:jc w:val="left"/>
              <w:rPr>
                <w:rFonts w:eastAsia="仿宋_GB2312"/>
                <w:b/>
                <w:bCs/>
                <w:kern w:val="0"/>
                <w:sz w:val="24"/>
              </w:rPr>
            </w:pPr>
            <w:r>
              <w:rPr>
                <w:rFonts w:eastAsia="仿宋_GB2312"/>
                <w:b/>
                <w:bCs/>
                <w:kern w:val="0"/>
                <w:sz w:val="24"/>
              </w:rPr>
              <w:t xml:space="preserve">   使用单位验收意见：（盖章）</w:t>
            </w:r>
          </w:p>
          <w:p>
            <w:pPr>
              <w:rPr>
                <w:rFonts w:eastAsia="仿宋_GB2312"/>
                <w:sz w:val="24"/>
              </w:rPr>
            </w:pPr>
          </w:p>
        </w:tc>
      </w:tr>
      <w:tr>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pPr>
              <w:widowControl/>
              <w:jc w:val="center"/>
              <w:rPr>
                <w:rFonts w:eastAsia="仿宋_GB2312"/>
                <w:b/>
                <w:bCs/>
                <w:kern w:val="0"/>
                <w:sz w:val="24"/>
              </w:rPr>
            </w:pPr>
            <w:r>
              <w:rPr>
                <w:rFonts w:eastAsia="仿宋_GB2312"/>
                <w:b/>
                <w:bCs/>
                <w:kern w:val="0"/>
                <w:sz w:val="24"/>
              </w:rPr>
              <w:t xml:space="preserve"> 签字：</w:t>
            </w:r>
          </w:p>
        </w:tc>
        <w:tc>
          <w:tcPr>
            <w:tcW w:w="1349" w:type="pct"/>
            <w:tcBorders>
              <w:top w:val="nil"/>
              <w:left w:val="nil"/>
              <w:bottom w:val="nil"/>
              <w:right w:val="nil"/>
            </w:tcBorders>
            <w:noWrap/>
            <w:vAlign w:val="center"/>
          </w:tcPr>
          <w:p>
            <w:pPr>
              <w:widowControl/>
              <w:jc w:val="center"/>
              <w:rPr>
                <w:rFonts w:eastAsia="仿宋_GB2312"/>
                <w:b/>
                <w:bCs/>
                <w:kern w:val="0"/>
                <w:sz w:val="24"/>
              </w:rPr>
            </w:pPr>
          </w:p>
        </w:tc>
        <w:tc>
          <w:tcPr>
            <w:tcW w:w="1481" w:type="pct"/>
            <w:tcBorders>
              <w:top w:val="nil"/>
              <w:left w:val="single" w:color="auto" w:sz="4" w:space="0"/>
              <w:bottom w:val="nil"/>
              <w:right w:val="nil"/>
            </w:tcBorders>
            <w:noWrap/>
            <w:vAlign w:val="center"/>
          </w:tcPr>
          <w:p>
            <w:pPr>
              <w:widowControl/>
              <w:jc w:val="center"/>
              <w:rPr>
                <w:rFonts w:eastAsia="仿宋_GB2312"/>
                <w:b/>
                <w:bCs/>
                <w:kern w:val="0"/>
                <w:sz w:val="24"/>
              </w:rPr>
            </w:pPr>
            <w:r>
              <w:rPr>
                <w:rFonts w:eastAsia="仿宋_GB2312"/>
                <w:b/>
                <w:bCs/>
                <w:kern w:val="0"/>
                <w:sz w:val="24"/>
              </w:rPr>
              <w:t>签字：</w:t>
            </w:r>
          </w:p>
        </w:tc>
        <w:tc>
          <w:tcPr>
            <w:tcW w:w="1248" w:type="pct"/>
            <w:tcBorders>
              <w:top w:val="nil"/>
              <w:left w:val="nil"/>
              <w:bottom w:val="nil"/>
              <w:right w:val="single" w:color="auto" w:sz="8" w:space="0"/>
            </w:tcBorders>
          </w:tcPr>
          <w:p>
            <w:pPr>
              <w:widowControl/>
              <w:jc w:val="left"/>
              <w:rPr>
                <w:rFonts w:eastAsia="仿宋_GB2312"/>
                <w:b/>
                <w:bCs/>
                <w:kern w:val="0"/>
                <w:sz w:val="24"/>
              </w:rPr>
            </w:pPr>
            <w:r>
              <w:rPr>
                <w:rFonts w:eastAsia="仿宋_GB2312"/>
                <w:b/>
                <w:bCs/>
                <w:kern w:val="0"/>
                <w:sz w:val="24"/>
              </w:rPr>
              <w:t>　</w:t>
            </w:r>
          </w:p>
        </w:tc>
      </w:tr>
      <w:tr>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vAlign w:val="bottom"/>
          </w:tcPr>
          <w:p>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vAlign w:val="bottom"/>
          </w:tcPr>
          <w:p>
            <w:pPr>
              <w:widowControl/>
              <w:jc w:val="right"/>
              <w:rPr>
                <w:rFonts w:eastAsia="仿宋_GB2312"/>
                <w:kern w:val="0"/>
                <w:sz w:val="22"/>
                <w:szCs w:val="22"/>
              </w:rPr>
            </w:pPr>
            <w:r>
              <w:rPr>
                <w:rFonts w:eastAsia="仿宋_GB2312"/>
                <w:kern w:val="0"/>
                <w:sz w:val="22"/>
                <w:szCs w:val="22"/>
              </w:rPr>
              <w:t>年   月   日</w:t>
            </w:r>
          </w:p>
        </w:tc>
      </w:tr>
      <w:tr>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pPr>
              <w:widowControl/>
              <w:jc w:val="center"/>
              <w:rPr>
                <w:rFonts w:eastAsia="仿宋_GB2312"/>
                <w:b/>
                <w:bCs/>
                <w:kern w:val="0"/>
                <w:sz w:val="22"/>
                <w:szCs w:val="22"/>
              </w:rPr>
            </w:pPr>
            <w:r>
              <w:rPr>
                <w:rFonts w:eastAsia="仿宋_GB2312"/>
                <w:b/>
                <w:bCs/>
                <w:kern w:val="0"/>
                <w:sz w:val="22"/>
                <w:szCs w:val="22"/>
              </w:rPr>
              <w:t>采购内容</w:t>
            </w:r>
          </w:p>
        </w:tc>
      </w:tr>
      <w:tr>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pPr>
              <w:widowControl/>
              <w:jc w:val="center"/>
              <w:rPr>
                <w:rFonts w:eastAsia="仿宋_GB2312"/>
                <w:b/>
                <w:bCs/>
                <w:kern w:val="0"/>
                <w:sz w:val="28"/>
                <w:szCs w:val="28"/>
              </w:rPr>
            </w:pPr>
            <w:r>
              <w:rPr>
                <w:rFonts w:eastAsia="仿宋_GB2312"/>
                <w:b/>
                <w:bCs/>
                <w:kern w:val="0"/>
                <w:sz w:val="28"/>
                <w:szCs w:val="28"/>
              </w:rPr>
              <w:t>采购内容请列明品目、规格、型号、数量、单价、总价</w:t>
            </w:r>
          </w:p>
        </w:tc>
      </w:tr>
    </w:tbl>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YmJiNzk3NTgyYTJmNTM0N2IyODVhMDQ1N2IxNTAifQ=="/>
  </w:docVars>
  <w:rsids>
    <w:rsidRoot w:val="428504FD"/>
    <w:rsid w:val="4285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2023-06-09T07:45:00Z</dcterms:created>
  <dc:creator>高小</dc:creator>
  <cp:lastModifiedBy>高小</cp:lastModifiedBy>
  <dcterms:modified xsi:type="dcterms:W3CDTF">2023-06-09T07:45:46Z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1F1B02EC8D4842618F02427E46E24C49_11</vt:lpwstr>
  </property>
</Properties>
</file>